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CA15" w14:textId="6E9CF4E6" w:rsidR="00383345" w:rsidRPr="006043B7" w:rsidRDefault="009C79DF" w:rsidP="00B807B0">
      <w:pPr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>Lexxus Norton</w:t>
      </w:r>
      <w:r w:rsidR="008C060E">
        <w:rPr>
          <w:rFonts w:ascii="Century Gothic" w:hAnsi="Century Gothic" w:cs="Tahoma"/>
          <w:b/>
          <w:color w:val="887634"/>
          <w:sz w:val="28"/>
          <w:szCs w:val="28"/>
        </w:rPr>
        <w:t>: Luxusní byty v projektu Panorama Hlubočepy se blíží dokončení</w:t>
      </w:r>
    </w:p>
    <w:p w14:paraId="37BCCBE9" w14:textId="605144AB" w:rsidR="006043B7" w:rsidRDefault="006043B7" w:rsidP="00383345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5A1602FA" w14:textId="38A6040F" w:rsidR="00326E82" w:rsidRDefault="00101726" w:rsidP="00326E82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DC3808">
        <w:rPr>
          <w:rFonts w:ascii="Century Gothic" w:eastAsia="Times New Roman" w:hAnsi="Century Gothic" w:cs="Tahoma"/>
          <w:i/>
        </w:rPr>
        <w:t>21</w:t>
      </w:r>
      <w:r w:rsidR="00425140">
        <w:rPr>
          <w:rFonts w:ascii="Century Gothic" w:eastAsia="Times New Roman" w:hAnsi="Century Gothic" w:cs="Tahoma"/>
          <w:i/>
        </w:rPr>
        <w:t>. března</w:t>
      </w:r>
      <w:r w:rsidR="00B807B0">
        <w:rPr>
          <w:rFonts w:ascii="Century Gothic" w:eastAsia="Times New Roman" w:hAnsi="Century Gothic" w:cs="Tahoma"/>
          <w:i/>
        </w:rPr>
        <w:t xml:space="preserve"> 2018</w:t>
      </w:r>
    </w:p>
    <w:p w14:paraId="0CCBA17D" w14:textId="5C7BFA5D" w:rsidR="009C79DF" w:rsidRDefault="009C79DF" w:rsidP="00326E82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bookmarkStart w:id="0" w:name="_GoBack"/>
      <w:bookmarkEnd w:id="0"/>
    </w:p>
    <w:p w14:paraId="3D92C630" w14:textId="7164929D" w:rsidR="009C79DF" w:rsidRDefault="009C79DF" w:rsidP="002E39DC">
      <w:pPr>
        <w:spacing w:after="0" w:line="240" w:lineRule="auto"/>
        <w:ind w:right="-709"/>
        <w:jc w:val="both"/>
        <w:rPr>
          <w:rFonts w:ascii="Century Gothic" w:eastAsia="Times New Roman" w:hAnsi="Century Gothic" w:cs="Tahoma"/>
          <w:i/>
        </w:rPr>
      </w:pPr>
    </w:p>
    <w:p w14:paraId="20214F26" w14:textId="70F21CA0" w:rsidR="00011887" w:rsidRDefault="008B46B3" w:rsidP="0001188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  <w:b/>
        </w:rPr>
      </w:pPr>
      <w:r>
        <w:rPr>
          <w:rFonts w:ascii="Century Gothic" w:eastAsia="Times New Roman" w:hAnsi="Century Gothic" w:cs="Arial"/>
          <w:b/>
        </w:rPr>
        <w:t>Výstavba dvou exkluzivních bytových domů</w:t>
      </w:r>
      <w:r w:rsidR="001E5297">
        <w:rPr>
          <w:rFonts w:ascii="Century Gothic" w:eastAsia="Times New Roman" w:hAnsi="Century Gothic" w:cs="Arial"/>
          <w:b/>
        </w:rPr>
        <w:t xml:space="preserve"> Panorama Hlubočepy jde do finále.</w:t>
      </w:r>
      <w:r>
        <w:rPr>
          <w:rFonts w:ascii="Century Gothic" w:eastAsia="Times New Roman" w:hAnsi="Century Gothic" w:cs="Arial"/>
          <w:b/>
        </w:rPr>
        <w:t xml:space="preserve"> </w:t>
      </w:r>
      <w:r w:rsidR="00AB30D5">
        <w:rPr>
          <w:rFonts w:ascii="Century Gothic" w:eastAsia="Times New Roman" w:hAnsi="Century Gothic" w:cs="Arial"/>
          <w:b/>
        </w:rPr>
        <w:t>Podle vyjádření r</w:t>
      </w:r>
      <w:r w:rsidR="00011887">
        <w:rPr>
          <w:rFonts w:ascii="Century Gothic" w:eastAsia="Times New Roman" w:hAnsi="Century Gothic" w:cs="Arial"/>
          <w:b/>
        </w:rPr>
        <w:t>ealitní kancelář</w:t>
      </w:r>
      <w:r w:rsidR="00AB30D5">
        <w:rPr>
          <w:rFonts w:ascii="Century Gothic" w:eastAsia="Times New Roman" w:hAnsi="Century Gothic" w:cs="Arial"/>
          <w:b/>
        </w:rPr>
        <w:t>e</w:t>
      </w:r>
      <w:r w:rsidR="00011887">
        <w:rPr>
          <w:rFonts w:ascii="Century Gothic" w:eastAsia="Times New Roman" w:hAnsi="Century Gothic" w:cs="Arial"/>
          <w:b/>
        </w:rPr>
        <w:t xml:space="preserve"> Lexxus Norton</w:t>
      </w:r>
      <w:r w:rsidR="0067679A">
        <w:rPr>
          <w:rFonts w:ascii="Century Gothic" w:eastAsia="Times New Roman" w:hAnsi="Century Gothic" w:cs="Arial"/>
          <w:b/>
        </w:rPr>
        <w:t xml:space="preserve"> proběhne jejich kolaudace </w:t>
      </w:r>
      <w:r w:rsidR="00AB30D5">
        <w:rPr>
          <w:rFonts w:ascii="Century Gothic" w:eastAsia="Times New Roman" w:hAnsi="Century Gothic" w:cs="Arial"/>
          <w:b/>
        </w:rPr>
        <w:t>na jaře 2018. Nový projekt s</w:t>
      </w:r>
      <w:r w:rsidR="003773F3">
        <w:rPr>
          <w:rFonts w:ascii="Century Gothic" w:eastAsia="Times New Roman" w:hAnsi="Century Gothic" w:cs="Arial"/>
          <w:b/>
        </w:rPr>
        <w:t> 31 </w:t>
      </w:r>
      <w:r w:rsidR="00AB30D5">
        <w:rPr>
          <w:rFonts w:ascii="Century Gothic" w:eastAsia="Times New Roman" w:hAnsi="Century Gothic" w:cs="Arial"/>
          <w:b/>
        </w:rPr>
        <w:t xml:space="preserve">nízkoenergetickými byty ve vysokém </w:t>
      </w:r>
      <w:r w:rsidR="003440B0">
        <w:rPr>
          <w:rFonts w:ascii="Century Gothic" w:eastAsia="Times New Roman" w:hAnsi="Century Gothic" w:cs="Arial"/>
          <w:b/>
        </w:rPr>
        <w:t>standardu provedení nabízí</w:t>
      </w:r>
      <w:r w:rsidR="00AB30D5">
        <w:rPr>
          <w:rFonts w:ascii="Century Gothic" w:eastAsia="Times New Roman" w:hAnsi="Century Gothic" w:cs="Arial"/>
          <w:b/>
        </w:rPr>
        <w:t xml:space="preserve"> působivé panoramatické výhledy na Prahu a krásnou přírodu Prokopského údolí.</w:t>
      </w:r>
      <w:r w:rsidR="003773F3">
        <w:rPr>
          <w:rFonts w:ascii="Century Gothic" w:eastAsia="Times New Roman" w:hAnsi="Century Gothic" w:cs="Arial"/>
          <w:b/>
        </w:rPr>
        <w:t xml:space="preserve"> </w:t>
      </w:r>
    </w:p>
    <w:p w14:paraId="7012DEBF" w14:textId="41EE8592" w:rsidR="00011887" w:rsidRDefault="00011887" w:rsidP="0001188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  <w:b/>
        </w:rPr>
      </w:pPr>
    </w:p>
    <w:p w14:paraId="7E664637" w14:textId="52701BC2" w:rsidR="009C79DF" w:rsidRPr="003773F3" w:rsidRDefault="00F15492" w:rsidP="000939FA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  <w:r w:rsidRPr="003773F3">
        <w:rPr>
          <w:rFonts w:ascii="Arial" w:eastAsia="Times New Roman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8705979" wp14:editId="50FCBE1C">
            <wp:simplePos x="0" y="0"/>
            <wp:positionH relativeFrom="margin">
              <wp:posOffset>-348615</wp:posOffset>
            </wp:positionH>
            <wp:positionV relativeFrom="margin">
              <wp:posOffset>2353945</wp:posOffset>
            </wp:positionV>
            <wp:extent cx="1979295" cy="1303020"/>
            <wp:effectExtent l="0" t="0" r="190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xxus Norton_vizualizace_Panorama Hlubočepy_0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284">
        <w:rPr>
          <w:rFonts w:ascii="Century Gothic" w:eastAsia="Times New Roman" w:hAnsi="Century Gothic" w:cs="Tahoma"/>
        </w:rPr>
        <w:t xml:space="preserve">Nový projekt je situován na rozhraní Barrandova a Hlubočep ve vyhledávané lokalitě </w:t>
      </w:r>
      <w:r w:rsidR="000F1CFC">
        <w:rPr>
          <w:rFonts w:ascii="Century Gothic" w:eastAsia="Times New Roman" w:hAnsi="Century Gothic" w:cs="Tahoma"/>
        </w:rPr>
        <w:t>s</w:t>
      </w:r>
      <w:r w:rsidR="00322284">
        <w:rPr>
          <w:rFonts w:ascii="Century Gothic" w:eastAsia="Times New Roman" w:hAnsi="Century Gothic" w:cs="Tahoma"/>
        </w:rPr>
        <w:t xml:space="preserve"> výbornou občanskou vyb</w:t>
      </w:r>
      <w:r w:rsidR="000F1CFC">
        <w:rPr>
          <w:rFonts w:ascii="Century Gothic" w:eastAsia="Times New Roman" w:hAnsi="Century Gothic" w:cs="Tahoma"/>
        </w:rPr>
        <w:t>aveností a </w:t>
      </w:r>
      <w:r w:rsidR="00322284">
        <w:rPr>
          <w:rFonts w:ascii="Century Gothic" w:eastAsia="Times New Roman" w:hAnsi="Century Gothic" w:cs="Tahoma"/>
        </w:rPr>
        <w:t xml:space="preserve">dopravní dostupností. </w:t>
      </w:r>
      <w:r w:rsidR="00C21D13">
        <w:rPr>
          <w:rFonts w:ascii="Century Gothic" w:eastAsia="Times New Roman" w:hAnsi="Century Gothic" w:cs="Arial"/>
        </w:rPr>
        <w:t xml:space="preserve">Oba architektonicky výrazné domy zcela naplňují koncept </w:t>
      </w:r>
      <w:r w:rsidR="00247DA6">
        <w:rPr>
          <w:rFonts w:ascii="Century Gothic" w:eastAsia="Times New Roman" w:hAnsi="Century Gothic" w:cs="Arial"/>
        </w:rPr>
        <w:t>moderního městského bydlení, ve </w:t>
      </w:r>
      <w:r w:rsidR="000F1CFC">
        <w:rPr>
          <w:rFonts w:ascii="Century Gothic" w:eastAsia="Times New Roman" w:hAnsi="Century Gothic" w:cs="Arial"/>
        </w:rPr>
        <w:t>kterém se </w:t>
      </w:r>
      <w:r w:rsidR="00C21D13">
        <w:rPr>
          <w:rFonts w:ascii="Century Gothic" w:eastAsia="Times New Roman" w:hAnsi="Century Gothic" w:cs="Arial"/>
        </w:rPr>
        <w:t xml:space="preserve">snoubí kvalita provedení s technologiemi 21. století. </w:t>
      </w:r>
      <w:r w:rsidR="00247DA6">
        <w:rPr>
          <w:rFonts w:ascii="Century Gothic" w:eastAsia="Times New Roman" w:hAnsi="Century Gothic" w:cs="Arial"/>
        </w:rPr>
        <w:t>V</w:t>
      </w:r>
      <w:r w:rsidR="00C21D13">
        <w:rPr>
          <w:rFonts w:ascii="Century Gothic" w:eastAsia="Times New Roman" w:hAnsi="Century Gothic" w:cs="Arial"/>
        </w:rPr>
        <w:t>zdušné</w:t>
      </w:r>
      <w:r w:rsidR="00247DA6">
        <w:rPr>
          <w:rFonts w:ascii="Century Gothic" w:eastAsia="Times New Roman" w:hAnsi="Century Gothic" w:cs="Arial"/>
        </w:rPr>
        <w:t xml:space="preserve"> bytové jednotky</w:t>
      </w:r>
      <w:r w:rsidR="00C21D13">
        <w:rPr>
          <w:rFonts w:ascii="Century Gothic" w:eastAsia="Times New Roman" w:hAnsi="Century Gothic" w:cs="Arial"/>
        </w:rPr>
        <w:t xml:space="preserve"> v dispozicích </w:t>
      </w:r>
      <w:r w:rsidR="00247DA6">
        <w:rPr>
          <w:rFonts w:ascii="Century Gothic" w:eastAsia="Times New Roman" w:hAnsi="Century Gothic" w:cs="Arial"/>
        </w:rPr>
        <w:t>1+kk až 5+kk a </w:t>
      </w:r>
      <w:r w:rsidR="00C21D13">
        <w:rPr>
          <w:rFonts w:ascii="Century Gothic" w:eastAsia="Times New Roman" w:hAnsi="Century Gothic" w:cs="Arial"/>
        </w:rPr>
        <w:t>velikostech do 154 m</w:t>
      </w:r>
      <w:r w:rsidR="00C21D13" w:rsidRPr="00C21D13">
        <w:rPr>
          <w:rFonts w:ascii="Century Gothic" w:eastAsia="Times New Roman" w:hAnsi="Century Gothic" w:cs="Arial"/>
          <w:vertAlign w:val="superscript"/>
        </w:rPr>
        <w:t>2</w:t>
      </w:r>
      <w:r w:rsidR="00C21D13">
        <w:rPr>
          <w:rFonts w:ascii="Century Gothic" w:eastAsia="Times New Roman" w:hAnsi="Century Gothic" w:cs="Arial"/>
          <w:vertAlign w:val="superscript"/>
        </w:rPr>
        <w:t xml:space="preserve"> </w:t>
      </w:r>
      <w:r w:rsidR="00C21D13">
        <w:rPr>
          <w:rFonts w:ascii="Century Gothic" w:eastAsia="Times New Roman" w:hAnsi="Century Gothic" w:cs="Arial"/>
        </w:rPr>
        <w:t>proto disponují vysokými standardy základního vybavení</w:t>
      </w:r>
      <w:r w:rsidR="0067679A">
        <w:rPr>
          <w:rFonts w:ascii="Century Gothic" w:eastAsia="Times New Roman" w:hAnsi="Century Gothic" w:cs="Arial"/>
        </w:rPr>
        <w:t xml:space="preserve"> </w:t>
      </w:r>
      <w:r w:rsidR="00E129E2">
        <w:rPr>
          <w:rFonts w:ascii="Century Gothic" w:eastAsia="Times New Roman" w:hAnsi="Century Gothic" w:cs="Arial"/>
        </w:rPr>
        <w:t>a</w:t>
      </w:r>
      <w:r w:rsidR="0067679A">
        <w:rPr>
          <w:rFonts w:ascii="Century Gothic" w:eastAsia="Times New Roman" w:hAnsi="Century Gothic" w:cs="Arial"/>
        </w:rPr>
        <w:t> </w:t>
      </w:r>
      <w:r>
        <w:rPr>
          <w:rFonts w:ascii="Century Gothic" w:eastAsia="Times New Roman" w:hAnsi="Century Gothic" w:cs="Arial"/>
        </w:rPr>
        <w:t>syst</w:t>
      </w:r>
      <w:r w:rsidR="000939FA">
        <w:rPr>
          <w:rFonts w:ascii="Century Gothic" w:eastAsia="Times New Roman" w:hAnsi="Century Gothic" w:cs="Arial"/>
        </w:rPr>
        <w:t xml:space="preserve">émem </w:t>
      </w:r>
      <w:r w:rsidR="006E7AFA">
        <w:rPr>
          <w:rFonts w:ascii="Century Gothic" w:eastAsia="Times New Roman" w:hAnsi="Century Gothic" w:cs="Arial"/>
        </w:rPr>
        <w:t xml:space="preserve">inteligentní domácnosti. </w:t>
      </w:r>
      <w:r w:rsidR="00247DA6">
        <w:rPr>
          <w:rFonts w:ascii="Century Gothic" w:eastAsia="Times New Roman" w:hAnsi="Century Gothic" w:cs="Arial"/>
        </w:rPr>
        <w:t>24 klasických bytů a 7 mezonetů</w:t>
      </w:r>
      <w:r w:rsidR="000F1CFC">
        <w:rPr>
          <w:rFonts w:ascii="Century Gothic" w:eastAsia="Times New Roman" w:hAnsi="Century Gothic" w:cs="Arial"/>
        </w:rPr>
        <w:t xml:space="preserve"> navíc</w:t>
      </w:r>
      <w:r w:rsidR="00247DA6">
        <w:rPr>
          <w:rFonts w:ascii="Century Gothic" w:eastAsia="Times New Roman" w:hAnsi="Century Gothic" w:cs="Arial"/>
        </w:rPr>
        <w:t xml:space="preserve"> doplňují předzahrádky nebo prostorné terasy, z nichž se otevírají výhledy do okolí.</w:t>
      </w:r>
      <w:r w:rsidR="00B67AEA">
        <w:rPr>
          <w:rFonts w:ascii="Century Gothic" w:eastAsia="Times New Roman" w:hAnsi="Century Gothic" w:cs="Arial"/>
        </w:rPr>
        <w:t xml:space="preserve"> </w:t>
      </w:r>
      <w:r w:rsidR="00247DA6">
        <w:rPr>
          <w:rFonts w:ascii="Century Gothic" w:eastAsia="Times New Roman" w:hAnsi="Century Gothic" w:cs="Arial"/>
        </w:rPr>
        <w:t>Součástí projektu</w:t>
      </w:r>
      <w:r w:rsidR="00407B31">
        <w:rPr>
          <w:rFonts w:ascii="Century Gothic" w:eastAsia="Times New Roman" w:hAnsi="Century Gothic" w:cs="Arial"/>
        </w:rPr>
        <w:t>, který se nachází v uzavřeném areálu přístupném jen pro rezidenty,</w:t>
      </w:r>
      <w:r w:rsidR="00247DA6">
        <w:rPr>
          <w:rFonts w:ascii="Century Gothic" w:eastAsia="Times New Roman" w:hAnsi="Century Gothic" w:cs="Arial"/>
        </w:rPr>
        <w:t xml:space="preserve"> jsou rovněž parkovací stání v podzemním podlaží.</w:t>
      </w:r>
      <w:r w:rsidR="00C21D13">
        <w:rPr>
          <w:rFonts w:ascii="Century Gothic" w:eastAsia="Times New Roman" w:hAnsi="Century Gothic" w:cs="Arial"/>
        </w:rPr>
        <w:t xml:space="preserve"> </w:t>
      </w:r>
    </w:p>
    <w:p w14:paraId="4F3926A4" w14:textId="71019154" w:rsidR="004A6994" w:rsidRDefault="00322284" w:rsidP="004A6994">
      <w:pPr>
        <w:spacing w:after="0" w:line="320" w:lineRule="atLeast"/>
        <w:ind w:right="-709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Tahoma"/>
          <w:i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AAF7CF3" wp14:editId="13097468">
            <wp:simplePos x="0" y="0"/>
            <wp:positionH relativeFrom="margin">
              <wp:posOffset>3999865</wp:posOffset>
            </wp:positionH>
            <wp:positionV relativeFrom="margin">
              <wp:posOffset>4786630</wp:posOffset>
            </wp:positionV>
            <wp:extent cx="2164715" cy="1320800"/>
            <wp:effectExtent l="0" t="0" r="698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81064" w14:textId="3FBBED2B" w:rsidR="00322284" w:rsidRPr="00BD6915" w:rsidRDefault="000F1CFC" w:rsidP="005409CF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Arial"/>
        </w:rPr>
        <w:t>Základem každé b</w:t>
      </w:r>
      <w:r w:rsidR="004A6994">
        <w:rPr>
          <w:rFonts w:ascii="Century Gothic" w:eastAsia="Times New Roman" w:hAnsi="Century Gothic" w:cs="Arial"/>
        </w:rPr>
        <w:t xml:space="preserve">ytové jednotky </w:t>
      </w:r>
      <w:r>
        <w:rPr>
          <w:rFonts w:ascii="Century Gothic" w:eastAsia="Times New Roman" w:hAnsi="Century Gothic" w:cs="Arial"/>
        </w:rPr>
        <w:t>je</w:t>
      </w:r>
      <w:r w:rsidR="00B045CD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>propracovaný</w:t>
      </w:r>
      <w:r w:rsidR="00BD6915">
        <w:rPr>
          <w:rFonts w:ascii="Century Gothic" w:eastAsia="Times New Roman" w:hAnsi="Century Gothic" w:cs="Arial"/>
        </w:rPr>
        <w:t xml:space="preserve"> </w:t>
      </w:r>
      <w:r w:rsidR="000939FA">
        <w:rPr>
          <w:rFonts w:ascii="Century Gothic" w:eastAsia="Times New Roman" w:hAnsi="Century Gothic" w:cs="Arial"/>
        </w:rPr>
        <w:t>s</w:t>
      </w:r>
      <w:r>
        <w:rPr>
          <w:rFonts w:ascii="Century Gothic" w:eastAsia="Times New Roman" w:hAnsi="Century Gothic" w:cs="Arial"/>
        </w:rPr>
        <w:t>ystém</w:t>
      </w:r>
      <w:r w:rsidR="000939FA">
        <w:rPr>
          <w:rFonts w:ascii="Century Gothic" w:eastAsia="Times New Roman" w:hAnsi="Century Gothic" w:cs="Arial"/>
        </w:rPr>
        <w:t xml:space="preserve"> smart home technologií</w:t>
      </w:r>
      <w:r w:rsidR="00332765">
        <w:rPr>
          <w:rFonts w:ascii="Century Gothic" w:eastAsia="Times New Roman" w:hAnsi="Century Gothic" w:cs="Arial"/>
        </w:rPr>
        <w:t>, který umožňuje řídit vytápění, chlazení a osvětlen</w:t>
      </w:r>
      <w:r w:rsidR="000939FA">
        <w:rPr>
          <w:rFonts w:ascii="Century Gothic" w:eastAsia="Times New Roman" w:hAnsi="Century Gothic" w:cs="Arial"/>
        </w:rPr>
        <w:t xml:space="preserve">í, </w:t>
      </w:r>
      <w:r w:rsidR="000939FA">
        <w:rPr>
          <w:rFonts w:ascii="Century Gothic" w:hAnsi="Century Gothic"/>
        </w:rPr>
        <w:t xml:space="preserve">ovládat předokenní žaluzie </w:t>
      </w:r>
      <w:r w:rsidR="00D13CB1">
        <w:rPr>
          <w:rFonts w:ascii="Century Gothic" w:hAnsi="Century Gothic"/>
        </w:rPr>
        <w:t xml:space="preserve">či měřit a sledovat </w:t>
      </w:r>
      <w:r w:rsidR="000939FA">
        <w:rPr>
          <w:rFonts w:ascii="Century Gothic" w:hAnsi="Century Gothic"/>
        </w:rPr>
        <w:t>aktuální spotřebu energií.</w:t>
      </w:r>
      <w:r w:rsidR="000939FA">
        <w:rPr>
          <w:rFonts w:ascii="Century Gothic" w:eastAsia="Times New Roman" w:hAnsi="Century Gothic" w:cs="Arial"/>
        </w:rPr>
        <w:t xml:space="preserve"> </w:t>
      </w:r>
      <w:r w:rsidR="000939FA">
        <w:rPr>
          <w:rFonts w:ascii="Century Gothic" w:eastAsia="Times New Roman" w:hAnsi="Century Gothic" w:cs="Tahoma"/>
        </w:rPr>
        <w:t>„</w:t>
      </w:r>
      <w:r w:rsidR="00D13CB1">
        <w:rPr>
          <w:rFonts w:ascii="Century Gothic" w:eastAsia="Times New Roman" w:hAnsi="Century Gothic" w:cs="Tahoma"/>
        </w:rPr>
        <w:t>K </w:t>
      </w:r>
      <w:r w:rsidR="00ED2D42">
        <w:rPr>
          <w:rFonts w:ascii="Century Gothic" w:eastAsia="Times New Roman" w:hAnsi="Century Gothic" w:cs="Tahoma"/>
        </w:rPr>
        <w:t>této soustavě</w:t>
      </w:r>
      <w:r w:rsidR="00D13CB1">
        <w:rPr>
          <w:rFonts w:ascii="Century Gothic" w:eastAsia="Times New Roman" w:hAnsi="Century Gothic" w:cs="Tahoma"/>
        </w:rPr>
        <w:t xml:space="preserve"> je </w:t>
      </w:r>
      <w:r>
        <w:rPr>
          <w:rFonts w:ascii="Century Gothic" w:eastAsia="Times New Roman" w:hAnsi="Century Gothic" w:cs="Tahoma"/>
        </w:rPr>
        <w:t xml:space="preserve">navíc </w:t>
      </w:r>
      <w:r>
        <w:rPr>
          <w:rFonts w:ascii="Century Gothic" w:hAnsi="Century Gothic"/>
        </w:rPr>
        <w:t>připojený</w:t>
      </w:r>
      <w:r w:rsidR="00D13CB1">
        <w:rPr>
          <w:rFonts w:ascii="Century Gothic" w:hAnsi="Century Gothic"/>
        </w:rPr>
        <w:t xml:space="preserve"> </w:t>
      </w:r>
      <w:r w:rsidR="000939FA">
        <w:rPr>
          <w:rFonts w:ascii="Century Gothic" w:hAnsi="Century Gothic"/>
        </w:rPr>
        <w:t xml:space="preserve">kamerový systém v kombinaci s interkomem, video vrátným, alarmem a přístupovým systémem hlídaného vstupu do areálu. </w:t>
      </w:r>
      <w:r>
        <w:rPr>
          <w:rFonts w:ascii="Century Gothic" w:eastAsia="Times New Roman" w:hAnsi="Century Gothic" w:cs="Tahoma"/>
        </w:rPr>
        <w:t>Uzavřený komplex proto poskytuje maximální míru soukromí a bezpečí</w:t>
      </w:r>
      <w:r w:rsidR="00D23D8A">
        <w:rPr>
          <w:rFonts w:ascii="Century Gothic" w:eastAsia="Times New Roman" w:hAnsi="Century Gothic" w:cs="Arial"/>
        </w:rPr>
        <w:t xml:space="preserve">,“ vysvětluje </w:t>
      </w:r>
      <w:r w:rsidR="00982EF9" w:rsidRPr="005409CF">
        <w:rPr>
          <w:rFonts w:ascii="Century Gothic" w:eastAsia="Times New Roman" w:hAnsi="Century Gothic" w:cs="Arial"/>
          <w:b/>
        </w:rPr>
        <w:t>J</w:t>
      </w:r>
      <w:r w:rsidR="00AA674D" w:rsidRPr="005409CF">
        <w:rPr>
          <w:rFonts w:ascii="Century Gothic" w:eastAsia="Times New Roman" w:hAnsi="Century Gothic" w:cs="Arial"/>
          <w:b/>
        </w:rPr>
        <w:t>akub Sedmihradsk</w:t>
      </w:r>
      <w:r w:rsidR="004A6994" w:rsidRPr="005409CF">
        <w:rPr>
          <w:rFonts w:ascii="Century Gothic" w:eastAsia="Times New Roman" w:hAnsi="Century Gothic" w:cs="Arial"/>
          <w:b/>
        </w:rPr>
        <w:t>ý</w:t>
      </w:r>
      <w:r w:rsidR="004A6994">
        <w:rPr>
          <w:rFonts w:ascii="Century Gothic" w:eastAsia="Times New Roman" w:hAnsi="Century Gothic" w:cs="Arial"/>
        </w:rPr>
        <w:t xml:space="preserve">, </w:t>
      </w:r>
      <w:r w:rsidR="004A6994" w:rsidRPr="00CF27D5">
        <w:rPr>
          <w:rFonts w:ascii="Century Gothic" w:eastAsia="Times New Roman" w:hAnsi="Century Gothic" w:cs="Arial"/>
        </w:rPr>
        <w:t>Business Dev</w:t>
      </w:r>
      <w:r w:rsidR="004A6994">
        <w:rPr>
          <w:rFonts w:ascii="Century Gothic" w:eastAsia="Times New Roman" w:hAnsi="Century Gothic" w:cs="Arial"/>
        </w:rPr>
        <w:t>elopment Director Lexxus Norton</w:t>
      </w:r>
      <w:r w:rsidR="005409CF">
        <w:rPr>
          <w:rFonts w:ascii="Century Gothic" w:eastAsia="Times New Roman" w:hAnsi="Century Gothic" w:cs="Arial"/>
        </w:rPr>
        <w:t>,</w:t>
      </w:r>
      <w:r>
        <w:rPr>
          <w:rFonts w:ascii="Century Gothic" w:eastAsia="Times New Roman" w:hAnsi="Century Gothic" w:cs="Arial"/>
        </w:rPr>
        <w:t xml:space="preserve"> a </w:t>
      </w:r>
      <w:r w:rsidR="00BD6915">
        <w:rPr>
          <w:rFonts w:ascii="Century Gothic" w:eastAsia="Times New Roman" w:hAnsi="Century Gothic" w:cs="Arial"/>
        </w:rPr>
        <w:t xml:space="preserve">dodává: </w:t>
      </w:r>
      <w:r w:rsidR="00BD6915">
        <w:rPr>
          <w:rFonts w:ascii="Century Gothic" w:eastAsia="Times New Roman" w:hAnsi="Century Gothic" w:cs="Tahoma"/>
        </w:rPr>
        <w:t>„</w:t>
      </w:r>
      <w:r w:rsidR="005409CF">
        <w:rPr>
          <w:rFonts w:ascii="Century Gothic" w:eastAsia="Times New Roman" w:hAnsi="Century Gothic" w:cs="Tahoma"/>
        </w:rPr>
        <w:t>Stavební práce</w:t>
      </w:r>
      <w:r w:rsidR="00C731B3">
        <w:rPr>
          <w:rFonts w:ascii="Century Gothic" w:eastAsia="Times New Roman" w:hAnsi="Century Gothic" w:cs="Tahoma"/>
        </w:rPr>
        <w:t xml:space="preserve"> na </w:t>
      </w:r>
      <w:r w:rsidR="005409CF">
        <w:rPr>
          <w:rFonts w:ascii="Century Gothic" w:eastAsia="Times New Roman" w:hAnsi="Century Gothic" w:cs="Tahoma"/>
        </w:rPr>
        <w:t xml:space="preserve">novém projektu se pomalu chýlí ke konci, a proto se již brzy začnou stěhovat první majitelé. </w:t>
      </w:r>
      <w:r w:rsidR="00BD6915">
        <w:rPr>
          <w:rFonts w:ascii="Century Gothic" w:eastAsia="Times New Roman" w:hAnsi="Century Gothic" w:cs="Tahoma"/>
        </w:rPr>
        <w:t>Aktuálně</w:t>
      </w:r>
      <w:r w:rsidR="005409CF">
        <w:rPr>
          <w:rFonts w:ascii="Century Gothic" w:eastAsia="Times New Roman" w:hAnsi="Century Gothic" w:cs="Tahoma"/>
        </w:rPr>
        <w:t xml:space="preserve"> je v něm prodáno 55 % bytů.</w:t>
      </w:r>
      <w:r w:rsidR="005409CF">
        <w:rPr>
          <w:rFonts w:ascii="Century Gothic" w:eastAsia="Times New Roman" w:hAnsi="Century Gothic" w:cs="Arial"/>
        </w:rPr>
        <w:t>“</w:t>
      </w:r>
    </w:p>
    <w:p w14:paraId="4CE7BB38" w14:textId="1D0612CA" w:rsidR="00D23D8A" w:rsidRDefault="00D23D8A" w:rsidP="00417CB2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5712DC43" w14:textId="77777777" w:rsidR="00D13CB1" w:rsidRDefault="00D13CB1" w:rsidP="00417CB2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A32E19D" w14:textId="77777777" w:rsidR="00D13CB1" w:rsidRDefault="00D13CB1" w:rsidP="00417CB2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B8D0322" w14:textId="77777777" w:rsidR="00D23D8A" w:rsidRDefault="00D23D8A" w:rsidP="00417CB2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CC4557B" w14:textId="7FE740FD" w:rsidR="00AC34CD" w:rsidRPr="004C6FD4" w:rsidRDefault="00AC34CD" w:rsidP="00385C2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O Lexxus Norton</w:t>
      </w:r>
      <w:r w:rsidR="001F22DF">
        <w:rPr>
          <w:rFonts w:ascii="Century Gothic" w:hAnsi="Century Gothic" w:cs="Tahoma"/>
          <w:b/>
          <w:color w:val="887634"/>
          <w:sz w:val="24"/>
          <w:szCs w:val="24"/>
        </w:rPr>
        <w:t>:</w:t>
      </w:r>
    </w:p>
    <w:p w14:paraId="13103EF5" w14:textId="77777777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Lexxus Norton patří do skupiny LEXXUS Group a specializuje se pouze na luxusní nemovitosti k prodeji i k pronájmu v nejžádanějších lokalitách Prahy a blízkého okolí. </w:t>
      </w:r>
    </w:p>
    <w:p w14:paraId="714BFD5D" w14:textId="77777777" w:rsidR="00AC34CD" w:rsidRDefault="00AC34CD" w:rsidP="00A01C7E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lastRenderedPageBreak/>
        <w:t>Realitní agenti Lexxus Norton kladou maximální důraz na nejlepší servis jak pro developery, tak pro ko</w:t>
      </w:r>
      <w:r w:rsidR="003F2967">
        <w:rPr>
          <w:rFonts w:ascii="Century Gothic" w:hAnsi="Century Gothic" w:cs="Tahoma"/>
        </w:rPr>
        <w:t>nečné uživatele. Služby Lexxus</w:t>
      </w:r>
      <w:r>
        <w:rPr>
          <w:rFonts w:ascii="Century Gothic" w:hAnsi="Century Gothic" w:cs="Tahoma"/>
        </w:rPr>
        <w:t xml:space="preserve"> Norton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B43DA1D" w14:textId="77777777" w:rsidR="00DC5208" w:rsidRDefault="00DC5208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1CBB1BC2" w14:textId="77777777" w:rsidR="000846B7" w:rsidRDefault="000846B7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51351CB" w14:textId="192569FF" w:rsidR="00AC34CD" w:rsidRPr="00AC34CD" w:rsidRDefault="00AC34CD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  <w:r w:rsidR="001F22DF">
        <w:rPr>
          <w:rFonts w:ascii="Century Gothic" w:hAnsi="Century Gothic" w:cs="Tahoma"/>
          <w:b/>
          <w:color w:val="887634"/>
          <w:sz w:val="24"/>
          <w:szCs w:val="24"/>
        </w:rPr>
        <w:t>:</w:t>
      </w:r>
    </w:p>
    <w:p w14:paraId="1135A89F" w14:textId="77777777" w:rsidR="00AC34CD" w:rsidRDefault="00AC34CD" w:rsidP="00A01C7E">
      <w:pPr>
        <w:pStyle w:val="Bezmezer"/>
        <w:spacing w:line="320" w:lineRule="atLeast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5292A75D" w14:textId="77777777" w:rsidR="00AC34CD" w:rsidRDefault="00AC34CD" w:rsidP="00DC5208">
      <w:pPr>
        <w:pStyle w:val="Bezmezer"/>
        <w:spacing w:line="320" w:lineRule="atLeast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06C26141" w14:textId="40ADEF76" w:rsidR="001F22DF" w:rsidRDefault="001F22DF" w:rsidP="00112F5C">
      <w:pPr>
        <w:pStyle w:val="Bezmezer"/>
        <w:spacing w:line="320" w:lineRule="atLeast"/>
        <w:ind w:left="-567" w:right="-709"/>
        <w:rPr>
          <w:rStyle w:val="Hypertextovodkaz"/>
          <w:rFonts w:ascii="Century Gothic" w:hAnsi="Century Gothic"/>
        </w:rPr>
      </w:pPr>
      <w:hyperlink r:id="rId11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4A7E4AD9" w14:textId="77777777" w:rsidR="001F22DF" w:rsidRPr="00112F5C" w:rsidRDefault="001F22DF" w:rsidP="00112F5C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0000FF"/>
          <w:u w:val="single"/>
        </w:rPr>
      </w:pPr>
    </w:p>
    <w:p w14:paraId="6684C98E" w14:textId="77777777" w:rsidR="001F22DF" w:rsidRPr="001F22DF" w:rsidRDefault="001F22DF" w:rsidP="001F22DF">
      <w:pPr>
        <w:pStyle w:val="Bezmezer"/>
        <w:spacing w:line="320" w:lineRule="atLeast"/>
        <w:ind w:left="-567" w:right="-709"/>
        <w:rPr>
          <w:rFonts w:ascii="Century Gothic" w:hAnsi="Century Gothic"/>
          <w:b/>
        </w:rPr>
      </w:pPr>
      <w:r w:rsidRPr="001F22DF">
        <w:rPr>
          <w:rFonts w:ascii="Century Gothic" w:hAnsi="Century Gothic"/>
          <w:b/>
        </w:rPr>
        <w:t>PR agentura Crest Communications</w:t>
      </w:r>
    </w:p>
    <w:p w14:paraId="15026B9E" w14:textId="77777777" w:rsidR="001F22DF" w:rsidRDefault="001F22DF" w:rsidP="001F22DF">
      <w:pPr>
        <w:pStyle w:val="Bezmezer"/>
        <w:spacing w:line="320" w:lineRule="atLeast"/>
        <w:ind w:left="-567" w:right="-709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Kukaňová</w:t>
      </w:r>
    </w:p>
    <w:p w14:paraId="38D2197F" w14:textId="77777777" w:rsidR="001F22DF" w:rsidRDefault="001F22DF" w:rsidP="001F22DF">
      <w:pPr>
        <w:pStyle w:val="Bezmezer"/>
        <w:spacing w:line="320" w:lineRule="atLeast"/>
        <w:ind w:left="-567" w:right="-709"/>
        <w:rPr>
          <w:rStyle w:val="Hypertextovodkaz"/>
          <w:rFonts w:ascii="Century Gothic" w:hAnsi="Century Gothic" w:cs="Arial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7671B0ED" w14:textId="69242CE8" w:rsidR="001F22DF" w:rsidRDefault="001F22DF" w:rsidP="001F22DF">
      <w:pPr>
        <w:pStyle w:val="Bezmezer"/>
        <w:spacing w:line="320" w:lineRule="atLeast"/>
        <w:ind w:left="-567" w:right="-709"/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</w:t>
      </w:r>
      <w:r>
        <w:rPr>
          <w:rFonts w:ascii="Century Gothic" w:hAnsi="Century Gothic" w:cs="Arial"/>
        </w:rPr>
        <w:t> </w:t>
      </w:r>
      <w:r>
        <w:rPr>
          <w:rFonts w:ascii="Century Gothic" w:hAnsi="Century Gothic" w:cs="Arial"/>
        </w:rPr>
        <w:t>618</w:t>
      </w:r>
    </w:p>
    <w:p w14:paraId="2BDBB8B1" w14:textId="77777777" w:rsidR="001F22DF" w:rsidRDefault="001F22DF" w:rsidP="001F22DF">
      <w:pPr>
        <w:pStyle w:val="Bezmezer"/>
        <w:spacing w:line="320" w:lineRule="atLeast"/>
        <w:ind w:left="-567" w:right="-709"/>
        <w:rPr>
          <w:rFonts w:ascii="Century Gothic" w:hAnsi="Century Gothic"/>
          <w:b/>
        </w:rPr>
      </w:pPr>
    </w:p>
    <w:p w14:paraId="3E63359B" w14:textId="77777777" w:rsidR="001F22DF" w:rsidRDefault="001F22DF" w:rsidP="001F22DF">
      <w:pPr>
        <w:pStyle w:val="Bezmezer"/>
        <w:spacing w:line="320" w:lineRule="atLeast"/>
        <w:ind w:left="-567" w:right="-709"/>
      </w:pPr>
      <w:r>
        <w:rPr>
          <w:rFonts w:ascii="Century Gothic" w:hAnsi="Century Gothic"/>
          <w:b/>
        </w:rPr>
        <w:t>Marie Cimplová</w:t>
      </w:r>
    </w:p>
    <w:p w14:paraId="3FE5099B" w14:textId="77777777" w:rsidR="001F22DF" w:rsidRDefault="001F22DF" w:rsidP="001F22DF">
      <w:pPr>
        <w:pStyle w:val="Bezmezer"/>
        <w:spacing w:line="320" w:lineRule="atLeast"/>
        <w:ind w:left="-567" w:right="-709"/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69375D8D" w14:textId="726F4667" w:rsidR="001F22DF" w:rsidRDefault="001F22DF" w:rsidP="001F22DF">
      <w:pPr>
        <w:pStyle w:val="Bezmezer"/>
        <w:spacing w:line="320" w:lineRule="atLeast"/>
        <w:ind w:left="-567" w:right="-709"/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</w:t>
      </w:r>
      <w:r>
        <w:rPr>
          <w:rFonts w:ascii="Century Gothic" w:hAnsi="Century Gothic" w:cs="Arial"/>
        </w:rPr>
        <w:t> </w:t>
      </w:r>
      <w:r>
        <w:rPr>
          <w:rFonts w:ascii="Century Gothic" w:hAnsi="Century Gothic" w:cs="Arial"/>
        </w:rPr>
        <w:t>602</w:t>
      </w:r>
    </w:p>
    <w:p w14:paraId="31ECCBA4" w14:textId="77777777" w:rsidR="001F22DF" w:rsidRDefault="001F22DF" w:rsidP="001F22DF">
      <w:pPr>
        <w:pStyle w:val="Bezmezer"/>
        <w:spacing w:line="320" w:lineRule="atLeast"/>
        <w:ind w:left="-567" w:right="-709"/>
      </w:pPr>
    </w:p>
    <w:p w14:paraId="6CFC13BB" w14:textId="0C0CD36D" w:rsidR="001F22DF" w:rsidRPr="001F22DF" w:rsidRDefault="001F22DF" w:rsidP="001F22DF">
      <w:pPr>
        <w:pStyle w:val="Bezmezer"/>
        <w:spacing w:line="320" w:lineRule="atLeast"/>
        <w:ind w:left="-567" w:right="-709"/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6EBB15F4" w14:textId="77777777" w:rsidR="001F22DF" w:rsidRPr="007F2F5E" w:rsidRDefault="001F22DF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1F22DF" w:rsidRPr="007F2F5E" w:rsidSect="00870B9D">
      <w:headerReference w:type="default" r:id="rId15"/>
      <w:footerReference w:type="default" r:id="rId16"/>
      <w:pgSz w:w="11906" w:h="16838" w:code="9"/>
      <w:pgMar w:top="1985" w:right="1418" w:bottom="155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202A0" w16cid:durableId="1E5270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7DA29" w14:textId="77777777" w:rsidR="00241E4B" w:rsidRDefault="00241E4B" w:rsidP="002E72DB">
      <w:pPr>
        <w:spacing w:after="0" w:line="240" w:lineRule="auto"/>
      </w:pPr>
      <w:r>
        <w:separator/>
      </w:r>
    </w:p>
  </w:endnote>
  <w:endnote w:type="continuationSeparator" w:id="0">
    <w:p w14:paraId="33EEA6E0" w14:textId="77777777" w:rsidR="00241E4B" w:rsidRDefault="00241E4B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7CD7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FD31FB" wp14:editId="35733E67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21D38" w14:textId="77777777" w:rsidR="00241E4B" w:rsidRDefault="00241E4B" w:rsidP="002E72DB">
      <w:pPr>
        <w:spacing w:after="0" w:line="240" w:lineRule="auto"/>
      </w:pPr>
      <w:r>
        <w:separator/>
      </w:r>
    </w:p>
  </w:footnote>
  <w:footnote w:type="continuationSeparator" w:id="0">
    <w:p w14:paraId="6E5CE78B" w14:textId="77777777" w:rsidR="00241E4B" w:rsidRDefault="00241E4B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36F8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4522B6" wp14:editId="3B516E31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0735F"/>
    <w:rsid w:val="0000748F"/>
    <w:rsid w:val="00011887"/>
    <w:rsid w:val="00011C5D"/>
    <w:rsid w:val="00015619"/>
    <w:rsid w:val="00015CB6"/>
    <w:rsid w:val="00022AB3"/>
    <w:rsid w:val="00036C4C"/>
    <w:rsid w:val="000444AB"/>
    <w:rsid w:val="00045B5B"/>
    <w:rsid w:val="00050CE0"/>
    <w:rsid w:val="0005523A"/>
    <w:rsid w:val="00060FDF"/>
    <w:rsid w:val="00064514"/>
    <w:rsid w:val="00066615"/>
    <w:rsid w:val="00074C1B"/>
    <w:rsid w:val="00074DA6"/>
    <w:rsid w:val="00082C9F"/>
    <w:rsid w:val="000846B7"/>
    <w:rsid w:val="00087794"/>
    <w:rsid w:val="00091CF9"/>
    <w:rsid w:val="000939FA"/>
    <w:rsid w:val="000A187D"/>
    <w:rsid w:val="000A3FBE"/>
    <w:rsid w:val="000A6587"/>
    <w:rsid w:val="000B45F5"/>
    <w:rsid w:val="000B4A42"/>
    <w:rsid w:val="000B4BD7"/>
    <w:rsid w:val="000B61BC"/>
    <w:rsid w:val="000C4121"/>
    <w:rsid w:val="000C77B6"/>
    <w:rsid w:val="000D3184"/>
    <w:rsid w:val="000D7D3F"/>
    <w:rsid w:val="000D7EB8"/>
    <w:rsid w:val="000E2D94"/>
    <w:rsid w:val="000E59C5"/>
    <w:rsid w:val="000E62C8"/>
    <w:rsid w:val="000F10A0"/>
    <w:rsid w:val="000F1CFC"/>
    <w:rsid w:val="000F4FEA"/>
    <w:rsid w:val="000F5BFF"/>
    <w:rsid w:val="00101726"/>
    <w:rsid w:val="00103005"/>
    <w:rsid w:val="00103554"/>
    <w:rsid w:val="00103D6A"/>
    <w:rsid w:val="00105C1A"/>
    <w:rsid w:val="00107696"/>
    <w:rsid w:val="001077C5"/>
    <w:rsid w:val="00107981"/>
    <w:rsid w:val="001108B4"/>
    <w:rsid w:val="00110A51"/>
    <w:rsid w:val="00112F5C"/>
    <w:rsid w:val="00116D75"/>
    <w:rsid w:val="001231CB"/>
    <w:rsid w:val="00126132"/>
    <w:rsid w:val="00134D43"/>
    <w:rsid w:val="001369DE"/>
    <w:rsid w:val="001403FE"/>
    <w:rsid w:val="001430AF"/>
    <w:rsid w:val="00145EB1"/>
    <w:rsid w:val="0015641B"/>
    <w:rsid w:val="0016106C"/>
    <w:rsid w:val="00167853"/>
    <w:rsid w:val="001715F8"/>
    <w:rsid w:val="00171AC8"/>
    <w:rsid w:val="0017560D"/>
    <w:rsid w:val="00180C53"/>
    <w:rsid w:val="00184B19"/>
    <w:rsid w:val="00184F40"/>
    <w:rsid w:val="00185F12"/>
    <w:rsid w:val="00191268"/>
    <w:rsid w:val="001A01C0"/>
    <w:rsid w:val="001A31B3"/>
    <w:rsid w:val="001A5A23"/>
    <w:rsid w:val="001A5C38"/>
    <w:rsid w:val="001A769F"/>
    <w:rsid w:val="001B2E4D"/>
    <w:rsid w:val="001B3509"/>
    <w:rsid w:val="001B4C18"/>
    <w:rsid w:val="001C745E"/>
    <w:rsid w:val="001C7B6C"/>
    <w:rsid w:val="001D0C45"/>
    <w:rsid w:val="001E15E1"/>
    <w:rsid w:val="001E1F61"/>
    <w:rsid w:val="001E23C8"/>
    <w:rsid w:val="001E5297"/>
    <w:rsid w:val="001E7BF7"/>
    <w:rsid w:val="001F04A8"/>
    <w:rsid w:val="001F22DF"/>
    <w:rsid w:val="001F3829"/>
    <w:rsid w:val="001F599E"/>
    <w:rsid w:val="00216AC3"/>
    <w:rsid w:val="00224D65"/>
    <w:rsid w:val="0023241F"/>
    <w:rsid w:val="00237D6A"/>
    <w:rsid w:val="00241E4B"/>
    <w:rsid w:val="00242084"/>
    <w:rsid w:val="00244073"/>
    <w:rsid w:val="00244457"/>
    <w:rsid w:val="00247DA6"/>
    <w:rsid w:val="00247F05"/>
    <w:rsid w:val="0025041F"/>
    <w:rsid w:val="0025178B"/>
    <w:rsid w:val="00260D2A"/>
    <w:rsid w:val="00270485"/>
    <w:rsid w:val="00270DAD"/>
    <w:rsid w:val="002712C0"/>
    <w:rsid w:val="002841BD"/>
    <w:rsid w:val="002866E5"/>
    <w:rsid w:val="00291661"/>
    <w:rsid w:val="00293E71"/>
    <w:rsid w:val="0029629F"/>
    <w:rsid w:val="00297E0D"/>
    <w:rsid w:val="002B3CA6"/>
    <w:rsid w:val="002C6203"/>
    <w:rsid w:val="002C7866"/>
    <w:rsid w:val="002D3982"/>
    <w:rsid w:val="002D5C20"/>
    <w:rsid w:val="002E36EF"/>
    <w:rsid w:val="002E39DC"/>
    <w:rsid w:val="002E72DB"/>
    <w:rsid w:val="002F0525"/>
    <w:rsid w:val="002F5EDF"/>
    <w:rsid w:val="002F7785"/>
    <w:rsid w:val="003066E6"/>
    <w:rsid w:val="00306D3C"/>
    <w:rsid w:val="00312369"/>
    <w:rsid w:val="00313640"/>
    <w:rsid w:val="00315AA6"/>
    <w:rsid w:val="00317FF9"/>
    <w:rsid w:val="00322284"/>
    <w:rsid w:val="00323224"/>
    <w:rsid w:val="00323D67"/>
    <w:rsid w:val="00326037"/>
    <w:rsid w:val="00326E82"/>
    <w:rsid w:val="0032783C"/>
    <w:rsid w:val="003278CF"/>
    <w:rsid w:val="0033006C"/>
    <w:rsid w:val="00332765"/>
    <w:rsid w:val="00332DDF"/>
    <w:rsid w:val="00336446"/>
    <w:rsid w:val="003367AE"/>
    <w:rsid w:val="00341818"/>
    <w:rsid w:val="003440B0"/>
    <w:rsid w:val="00344275"/>
    <w:rsid w:val="00346A69"/>
    <w:rsid w:val="00351711"/>
    <w:rsid w:val="00354253"/>
    <w:rsid w:val="00354BF8"/>
    <w:rsid w:val="003562ED"/>
    <w:rsid w:val="0036031F"/>
    <w:rsid w:val="003773F3"/>
    <w:rsid w:val="00383345"/>
    <w:rsid w:val="0038459B"/>
    <w:rsid w:val="00385554"/>
    <w:rsid w:val="00385C2E"/>
    <w:rsid w:val="00393444"/>
    <w:rsid w:val="00393696"/>
    <w:rsid w:val="003963D8"/>
    <w:rsid w:val="003A04A4"/>
    <w:rsid w:val="003B0D62"/>
    <w:rsid w:val="003C1106"/>
    <w:rsid w:val="003C696D"/>
    <w:rsid w:val="003D1057"/>
    <w:rsid w:val="003D76E3"/>
    <w:rsid w:val="003D77AE"/>
    <w:rsid w:val="003E6384"/>
    <w:rsid w:val="003F1AEC"/>
    <w:rsid w:val="003F2967"/>
    <w:rsid w:val="003F39C8"/>
    <w:rsid w:val="003F5A0F"/>
    <w:rsid w:val="003F7F8C"/>
    <w:rsid w:val="00407B31"/>
    <w:rsid w:val="00410CC6"/>
    <w:rsid w:val="0041364A"/>
    <w:rsid w:val="00413A4A"/>
    <w:rsid w:val="00415EEF"/>
    <w:rsid w:val="00417CB2"/>
    <w:rsid w:val="0042415D"/>
    <w:rsid w:val="00424C9C"/>
    <w:rsid w:val="00425140"/>
    <w:rsid w:val="004308F1"/>
    <w:rsid w:val="004331B9"/>
    <w:rsid w:val="004377E5"/>
    <w:rsid w:val="004453B3"/>
    <w:rsid w:val="00447D36"/>
    <w:rsid w:val="004536CB"/>
    <w:rsid w:val="00454240"/>
    <w:rsid w:val="00454A0A"/>
    <w:rsid w:val="00457D91"/>
    <w:rsid w:val="00460E1C"/>
    <w:rsid w:val="0046424A"/>
    <w:rsid w:val="004647B1"/>
    <w:rsid w:val="00464E5F"/>
    <w:rsid w:val="0047195A"/>
    <w:rsid w:val="0048414C"/>
    <w:rsid w:val="0048623A"/>
    <w:rsid w:val="00490524"/>
    <w:rsid w:val="00496FD4"/>
    <w:rsid w:val="004A305A"/>
    <w:rsid w:val="004A3C89"/>
    <w:rsid w:val="004A6994"/>
    <w:rsid w:val="004A6E3A"/>
    <w:rsid w:val="004B3770"/>
    <w:rsid w:val="004B3897"/>
    <w:rsid w:val="004B7558"/>
    <w:rsid w:val="004C37A4"/>
    <w:rsid w:val="004C68B0"/>
    <w:rsid w:val="004C6FD4"/>
    <w:rsid w:val="004D08B2"/>
    <w:rsid w:val="004D0A16"/>
    <w:rsid w:val="004D176A"/>
    <w:rsid w:val="004D3CCE"/>
    <w:rsid w:val="004D5ADF"/>
    <w:rsid w:val="004D628A"/>
    <w:rsid w:val="004E46F2"/>
    <w:rsid w:val="004E52F3"/>
    <w:rsid w:val="004E69B8"/>
    <w:rsid w:val="004E7019"/>
    <w:rsid w:val="004E7AA0"/>
    <w:rsid w:val="004F1ADE"/>
    <w:rsid w:val="004F3B18"/>
    <w:rsid w:val="004F5596"/>
    <w:rsid w:val="0050329B"/>
    <w:rsid w:val="00506567"/>
    <w:rsid w:val="00506ABC"/>
    <w:rsid w:val="00513C23"/>
    <w:rsid w:val="0051415A"/>
    <w:rsid w:val="005171B0"/>
    <w:rsid w:val="00517ECC"/>
    <w:rsid w:val="00522DB6"/>
    <w:rsid w:val="0052622D"/>
    <w:rsid w:val="00531B2D"/>
    <w:rsid w:val="00536648"/>
    <w:rsid w:val="00537934"/>
    <w:rsid w:val="005409CF"/>
    <w:rsid w:val="0055477B"/>
    <w:rsid w:val="00555195"/>
    <w:rsid w:val="00557BA2"/>
    <w:rsid w:val="0056371C"/>
    <w:rsid w:val="00565CA3"/>
    <w:rsid w:val="005667B7"/>
    <w:rsid w:val="005672F7"/>
    <w:rsid w:val="00567522"/>
    <w:rsid w:val="005711D3"/>
    <w:rsid w:val="0057278F"/>
    <w:rsid w:val="00573A65"/>
    <w:rsid w:val="005777B3"/>
    <w:rsid w:val="00581D0B"/>
    <w:rsid w:val="00582F38"/>
    <w:rsid w:val="005955DE"/>
    <w:rsid w:val="005A026C"/>
    <w:rsid w:val="005A11D5"/>
    <w:rsid w:val="005A15EF"/>
    <w:rsid w:val="005B601F"/>
    <w:rsid w:val="005B686B"/>
    <w:rsid w:val="005C39D2"/>
    <w:rsid w:val="005C3C3D"/>
    <w:rsid w:val="005C6CB9"/>
    <w:rsid w:val="005D092A"/>
    <w:rsid w:val="005D0FA8"/>
    <w:rsid w:val="005D505F"/>
    <w:rsid w:val="005E11B4"/>
    <w:rsid w:val="005E1D93"/>
    <w:rsid w:val="005E2BA7"/>
    <w:rsid w:val="005E6AB8"/>
    <w:rsid w:val="005F124B"/>
    <w:rsid w:val="005F3558"/>
    <w:rsid w:val="005F38AA"/>
    <w:rsid w:val="00600DE3"/>
    <w:rsid w:val="006043B7"/>
    <w:rsid w:val="006107E5"/>
    <w:rsid w:val="006169A4"/>
    <w:rsid w:val="006206A4"/>
    <w:rsid w:val="006215D7"/>
    <w:rsid w:val="00625B25"/>
    <w:rsid w:val="0063562D"/>
    <w:rsid w:val="006411FB"/>
    <w:rsid w:val="0064295C"/>
    <w:rsid w:val="00653590"/>
    <w:rsid w:val="0065364D"/>
    <w:rsid w:val="00656150"/>
    <w:rsid w:val="006566E7"/>
    <w:rsid w:val="006600A2"/>
    <w:rsid w:val="00664445"/>
    <w:rsid w:val="00667424"/>
    <w:rsid w:val="006719D2"/>
    <w:rsid w:val="00672A55"/>
    <w:rsid w:val="006756E4"/>
    <w:rsid w:val="0067644F"/>
    <w:rsid w:val="0067679A"/>
    <w:rsid w:val="00676C51"/>
    <w:rsid w:val="006777CD"/>
    <w:rsid w:val="0067793A"/>
    <w:rsid w:val="00680183"/>
    <w:rsid w:val="006819D2"/>
    <w:rsid w:val="00681FC6"/>
    <w:rsid w:val="00685781"/>
    <w:rsid w:val="006867BE"/>
    <w:rsid w:val="00692D7E"/>
    <w:rsid w:val="00693648"/>
    <w:rsid w:val="006964AF"/>
    <w:rsid w:val="0069785F"/>
    <w:rsid w:val="006A1776"/>
    <w:rsid w:val="006A4AA2"/>
    <w:rsid w:val="006A638B"/>
    <w:rsid w:val="006A65B2"/>
    <w:rsid w:val="006B05AB"/>
    <w:rsid w:val="006B3B8B"/>
    <w:rsid w:val="006B6B3B"/>
    <w:rsid w:val="006C2361"/>
    <w:rsid w:val="006C2C44"/>
    <w:rsid w:val="006C4E6A"/>
    <w:rsid w:val="006D42B0"/>
    <w:rsid w:val="006D526C"/>
    <w:rsid w:val="006D6B11"/>
    <w:rsid w:val="006E7AFA"/>
    <w:rsid w:val="006F10F0"/>
    <w:rsid w:val="006F4C8A"/>
    <w:rsid w:val="006F652E"/>
    <w:rsid w:val="0070368A"/>
    <w:rsid w:val="00703DDC"/>
    <w:rsid w:val="00710624"/>
    <w:rsid w:val="007119E0"/>
    <w:rsid w:val="00715BF1"/>
    <w:rsid w:val="0072141F"/>
    <w:rsid w:val="007239A5"/>
    <w:rsid w:val="00723BE8"/>
    <w:rsid w:val="00725ADB"/>
    <w:rsid w:val="00726B3F"/>
    <w:rsid w:val="00727637"/>
    <w:rsid w:val="00731856"/>
    <w:rsid w:val="0073686A"/>
    <w:rsid w:val="00743A37"/>
    <w:rsid w:val="00750D4B"/>
    <w:rsid w:val="007542ED"/>
    <w:rsid w:val="00755291"/>
    <w:rsid w:val="00761EB3"/>
    <w:rsid w:val="00765B0F"/>
    <w:rsid w:val="00771A03"/>
    <w:rsid w:val="00772443"/>
    <w:rsid w:val="00777265"/>
    <w:rsid w:val="0077737D"/>
    <w:rsid w:val="00777E5E"/>
    <w:rsid w:val="0078280A"/>
    <w:rsid w:val="00790F26"/>
    <w:rsid w:val="00795751"/>
    <w:rsid w:val="00795D4D"/>
    <w:rsid w:val="00796782"/>
    <w:rsid w:val="007A0870"/>
    <w:rsid w:val="007A507D"/>
    <w:rsid w:val="007B03B3"/>
    <w:rsid w:val="007B2091"/>
    <w:rsid w:val="007B2095"/>
    <w:rsid w:val="007B26EC"/>
    <w:rsid w:val="007C1FC7"/>
    <w:rsid w:val="007D0334"/>
    <w:rsid w:val="007D2D22"/>
    <w:rsid w:val="007D2E1D"/>
    <w:rsid w:val="007D346C"/>
    <w:rsid w:val="007E08EF"/>
    <w:rsid w:val="007F092C"/>
    <w:rsid w:val="007F2F5E"/>
    <w:rsid w:val="007F3D43"/>
    <w:rsid w:val="008033DF"/>
    <w:rsid w:val="00804593"/>
    <w:rsid w:val="00822F07"/>
    <w:rsid w:val="00825C0D"/>
    <w:rsid w:val="00832398"/>
    <w:rsid w:val="0083255D"/>
    <w:rsid w:val="00836B17"/>
    <w:rsid w:val="00841407"/>
    <w:rsid w:val="008415B3"/>
    <w:rsid w:val="00844A15"/>
    <w:rsid w:val="00847D1F"/>
    <w:rsid w:val="00850CE3"/>
    <w:rsid w:val="00850E79"/>
    <w:rsid w:val="00851E06"/>
    <w:rsid w:val="00862FED"/>
    <w:rsid w:val="00863902"/>
    <w:rsid w:val="008649FB"/>
    <w:rsid w:val="00865EE0"/>
    <w:rsid w:val="00870B9D"/>
    <w:rsid w:val="00872164"/>
    <w:rsid w:val="00876809"/>
    <w:rsid w:val="00881EF6"/>
    <w:rsid w:val="008853EB"/>
    <w:rsid w:val="00891A22"/>
    <w:rsid w:val="008932D8"/>
    <w:rsid w:val="008940EE"/>
    <w:rsid w:val="008941B2"/>
    <w:rsid w:val="00895D7F"/>
    <w:rsid w:val="00897C03"/>
    <w:rsid w:val="008A1977"/>
    <w:rsid w:val="008B08A6"/>
    <w:rsid w:val="008B46B3"/>
    <w:rsid w:val="008B6C9B"/>
    <w:rsid w:val="008C060E"/>
    <w:rsid w:val="008C07A4"/>
    <w:rsid w:val="008C12BC"/>
    <w:rsid w:val="008C32E7"/>
    <w:rsid w:val="008C3662"/>
    <w:rsid w:val="008C594F"/>
    <w:rsid w:val="008D267B"/>
    <w:rsid w:val="008D447F"/>
    <w:rsid w:val="008D5616"/>
    <w:rsid w:val="008E649E"/>
    <w:rsid w:val="008F0354"/>
    <w:rsid w:val="008F46AD"/>
    <w:rsid w:val="008F4F9F"/>
    <w:rsid w:val="008F5F16"/>
    <w:rsid w:val="008F796F"/>
    <w:rsid w:val="00906CA4"/>
    <w:rsid w:val="00930EDE"/>
    <w:rsid w:val="00932277"/>
    <w:rsid w:val="00933AAD"/>
    <w:rsid w:val="0093518A"/>
    <w:rsid w:val="009363B8"/>
    <w:rsid w:val="009461AE"/>
    <w:rsid w:val="00953032"/>
    <w:rsid w:val="00956770"/>
    <w:rsid w:val="00957633"/>
    <w:rsid w:val="00967901"/>
    <w:rsid w:val="0098238E"/>
    <w:rsid w:val="00982EF9"/>
    <w:rsid w:val="009840F9"/>
    <w:rsid w:val="00984A09"/>
    <w:rsid w:val="00990A79"/>
    <w:rsid w:val="0099430E"/>
    <w:rsid w:val="00997A6E"/>
    <w:rsid w:val="009A1758"/>
    <w:rsid w:val="009A268E"/>
    <w:rsid w:val="009A2CF4"/>
    <w:rsid w:val="009B0982"/>
    <w:rsid w:val="009B12A1"/>
    <w:rsid w:val="009B159E"/>
    <w:rsid w:val="009B4D5E"/>
    <w:rsid w:val="009B6185"/>
    <w:rsid w:val="009B68A4"/>
    <w:rsid w:val="009B7AD7"/>
    <w:rsid w:val="009C07BF"/>
    <w:rsid w:val="009C63CD"/>
    <w:rsid w:val="009C79DF"/>
    <w:rsid w:val="009D1FCA"/>
    <w:rsid w:val="009D2638"/>
    <w:rsid w:val="009D2B3F"/>
    <w:rsid w:val="009D743F"/>
    <w:rsid w:val="009E0418"/>
    <w:rsid w:val="009E6289"/>
    <w:rsid w:val="009F2014"/>
    <w:rsid w:val="009F2F2D"/>
    <w:rsid w:val="009F3692"/>
    <w:rsid w:val="00A01882"/>
    <w:rsid w:val="00A01C7E"/>
    <w:rsid w:val="00A03555"/>
    <w:rsid w:val="00A15CBD"/>
    <w:rsid w:val="00A16078"/>
    <w:rsid w:val="00A1632F"/>
    <w:rsid w:val="00A17929"/>
    <w:rsid w:val="00A22228"/>
    <w:rsid w:val="00A32417"/>
    <w:rsid w:val="00A40F94"/>
    <w:rsid w:val="00A472C0"/>
    <w:rsid w:val="00A55CE2"/>
    <w:rsid w:val="00A56B77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4AD7"/>
    <w:rsid w:val="00A96538"/>
    <w:rsid w:val="00AA56CE"/>
    <w:rsid w:val="00AA674D"/>
    <w:rsid w:val="00AB30D5"/>
    <w:rsid w:val="00AB46F9"/>
    <w:rsid w:val="00AB6695"/>
    <w:rsid w:val="00AC01A8"/>
    <w:rsid w:val="00AC20E7"/>
    <w:rsid w:val="00AC34CD"/>
    <w:rsid w:val="00AC4D97"/>
    <w:rsid w:val="00AC794C"/>
    <w:rsid w:val="00AD0AEE"/>
    <w:rsid w:val="00AD2E44"/>
    <w:rsid w:val="00AD3382"/>
    <w:rsid w:val="00AD51E5"/>
    <w:rsid w:val="00AD6E8B"/>
    <w:rsid w:val="00AE4C57"/>
    <w:rsid w:val="00AF1F3B"/>
    <w:rsid w:val="00AF2403"/>
    <w:rsid w:val="00AF297F"/>
    <w:rsid w:val="00AF3481"/>
    <w:rsid w:val="00B0408E"/>
    <w:rsid w:val="00B045CD"/>
    <w:rsid w:val="00B04AD3"/>
    <w:rsid w:val="00B1100C"/>
    <w:rsid w:val="00B11524"/>
    <w:rsid w:val="00B12606"/>
    <w:rsid w:val="00B13D4E"/>
    <w:rsid w:val="00B2345D"/>
    <w:rsid w:val="00B2386C"/>
    <w:rsid w:val="00B23BD2"/>
    <w:rsid w:val="00B244D6"/>
    <w:rsid w:val="00B32B43"/>
    <w:rsid w:val="00B33AAD"/>
    <w:rsid w:val="00B37BB4"/>
    <w:rsid w:val="00B40E3C"/>
    <w:rsid w:val="00B42C0B"/>
    <w:rsid w:val="00B4436D"/>
    <w:rsid w:val="00B444BC"/>
    <w:rsid w:val="00B46D6A"/>
    <w:rsid w:val="00B541B3"/>
    <w:rsid w:val="00B54F0B"/>
    <w:rsid w:val="00B6129C"/>
    <w:rsid w:val="00B617F1"/>
    <w:rsid w:val="00B64E12"/>
    <w:rsid w:val="00B67AEA"/>
    <w:rsid w:val="00B73581"/>
    <w:rsid w:val="00B806B4"/>
    <w:rsid w:val="00B807B0"/>
    <w:rsid w:val="00B81E0E"/>
    <w:rsid w:val="00B92330"/>
    <w:rsid w:val="00B96959"/>
    <w:rsid w:val="00BA5F58"/>
    <w:rsid w:val="00BA7714"/>
    <w:rsid w:val="00BB3095"/>
    <w:rsid w:val="00BC0068"/>
    <w:rsid w:val="00BD0DAD"/>
    <w:rsid w:val="00BD1BE5"/>
    <w:rsid w:val="00BD6915"/>
    <w:rsid w:val="00BE22EC"/>
    <w:rsid w:val="00BE46E6"/>
    <w:rsid w:val="00BE7639"/>
    <w:rsid w:val="00BE7BB8"/>
    <w:rsid w:val="00BF0651"/>
    <w:rsid w:val="00BF1E5E"/>
    <w:rsid w:val="00BF36C6"/>
    <w:rsid w:val="00BF71B0"/>
    <w:rsid w:val="00C1309B"/>
    <w:rsid w:val="00C1316B"/>
    <w:rsid w:val="00C15AC7"/>
    <w:rsid w:val="00C160FB"/>
    <w:rsid w:val="00C17E6A"/>
    <w:rsid w:val="00C20B70"/>
    <w:rsid w:val="00C21CAD"/>
    <w:rsid w:val="00C21D13"/>
    <w:rsid w:val="00C233F3"/>
    <w:rsid w:val="00C25E19"/>
    <w:rsid w:val="00C27B54"/>
    <w:rsid w:val="00C30FE9"/>
    <w:rsid w:val="00C3459D"/>
    <w:rsid w:val="00C36E7D"/>
    <w:rsid w:val="00C54641"/>
    <w:rsid w:val="00C56FEC"/>
    <w:rsid w:val="00C57256"/>
    <w:rsid w:val="00C57C5D"/>
    <w:rsid w:val="00C57E8F"/>
    <w:rsid w:val="00C602A2"/>
    <w:rsid w:val="00C67C18"/>
    <w:rsid w:val="00C731B3"/>
    <w:rsid w:val="00C8557C"/>
    <w:rsid w:val="00C91F60"/>
    <w:rsid w:val="00C923C4"/>
    <w:rsid w:val="00CA187B"/>
    <w:rsid w:val="00CA4031"/>
    <w:rsid w:val="00CA5219"/>
    <w:rsid w:val="00CB40E2"/>
    <w:rsid w:val="00CC0EE7"/>
    <w:rsid w:val="00CC100C"/>
    <w:rsid w:val="00CC2647"/>
    <w:rsid w:val="00CE2558"/>
    <w:rsid w:val="00CE3932"/>
    <w:rsid w:val="00CF27D5"/>
    <w:rsid w:val="00CF2945"/>
    <w:rsid w:val="00CF715B"/>
    <w:rsid w:val="00D01ED8"/>
    <w:rsid w:val="00D04CC2"/>
    <w:rsid w:val="00D04F48"/>
    <w:rsid w:val="00D0530C"/>
    <w:rsid w:val="00D12A7F"/>
    <w:rsid w:val="00D13CB1"/>
    <w:rsid w:val="00D13F2F"/>
    <w:rsid w:val="00D216AF"/>
    <w:rsid w:val="00D23D8A"/>
    <w:rsid w:val="00D27283"/>
    <w:rsid w:val="00D274C4"/>
    <w:rsid w:val="00D27F7E"/>
    <w:rsid w:val="00D309DE"/>
    <w:rsid w:val="00D44A1B"/>
    <w:rsid w:val="00D456C9"/>
    <w:rsid w:val="00D46F9A"/>
    <w:rsid w:val="00D50081"/>
    <w:rsid w:val="00D5059D"/>
    <w:rsid w:val="00D524BF"/>
    <w:rsid w:val="00D541BF"/>
    <w:rsid w:val="00D54D17"/>
    <w:rsid w:val="00D6046A"/>
    <w:rsid w:val="00D63DAD"/>
    <w:rsid w:val="00D63DB6"/>
    <w:rsid w:val="00D671D4"/>
    <w:rsid w:val="00D6725F"/>
    <w:rsid w:val="00D71B5B"/>
    <w:rsid w:val="00D81327"/>
    <w:rsid w:val="00D8528D"/>
    <w:rsid w:val="00D85E32"/>
    <w:rsid w:val="00D8730C"/>
    <w:rsid w:val="00D90EE2"/>
    <w:rsid w:val="00D95155"/>
    <w:rsid w:val="00DA5061"/>
    <w:rsid w:val="00DA656B"/>
    <w:rsid w:val="00DB1B4E"/>
    <w:rsid w:val="00DB5930"/>
    <w:rsid w:val="00DB69AE"/>
    <w:rsid w:val="00DB727E"/>
    <w:rsid w:val="00DC3808"/>
    <w:rsid w:val="00DC5208"/>
    <w:rsid w:val="00DD0CE1"/>
    <w:rsid w:val="00DD2B67"/>
    <w:rsid w:val="00DF250F"/>
    <w:rsid w:val="00DF476A"/>
    <w:rsid w:val="00DF5569"/>
    <w:rsid w:val="00DF7A7B"/>
    <w:rsid w:val="00E00C88"/>
    <w:rsid w:val="00E02492"/>
    <w:rsid w:val="00E02542"/>
    <w:rsid w:val="00E02579"/>
    <w:rsid w:val="00E117AD"/>
    <w:rsid w:val="00E12762"/>
    <w:rsid w:val="00E129E2"/>
    <w:rsid w:val="00E231A5"/>
    <w:rsid w:val="00E3185D"/>
    <w:rsid w:val="00E34BA1"/>
    <w:rsid w:val="00E34D5D"/>
    <w:rsid w:val="00E36865"/>
    <w:rsid w:val="00E436B1"/>
    <w:rsid w:val="00E43992"/>
    <w:rsid w:val="00E43EE6"/>
    <w:rsid w:val="00E4754F"/>
    <w:rsid w:val="00E5073D"/>
    <w:rsid w:val="00E60A3B"/>
    <w:rsid w:val="00E62047"/>
    <w:rsid w:val="00E65363"/>
    <w:rsid w:val="00E750E5"/>
    <w:rsid w:val="00E81580"/>
    <w:rsid w:val="00E86AF3"/>
    <w:rsid w:val="00E91E1B"/>
    <w:rsid w:val="00E96981"/>
    <w:rsid w:val="00EA113C"/>
    <w:rsid w:val="00EA190C"/>
    <w:rsid w:val="00EA3488"/>
    <w:rsid w:val="00EA45CB"/>
    <w:rsid w:val="00EB1FA6"/>
    <w:rsid w:val="00EB504D"/>
    <w:rsid w:val="00EB6D0B"/>
    <w:rsid w:val="00EC20B7"/>
    <w:rsid w:val="00EC2369"/>
    <w:rsid w:val="00EC25C4"/>
    <w:rsid w:val="00EC34D7"/>
    <w:rsid w:val="00EC3D94"/>
    <w:rsid w:val="00EC4B5C"/>
    <w:rsid w:val="00ED2D42"/>
    <w:rsid w:val="00ED4C7B"/>
    <w:rsid w:val="00ED519B"/>
    <w:rsid w:val="00ED56F6"/>
    <w:rsid w:val="00EE00AF"/>
    <w:rsid w:val="00EE6AC9"/>
    <w:rsid w:val="00EF08EA"/>
    <w:rsid w:val="00EF0C33"/>
    <w:rsid w:val="00EF23A8"/>
    <w:rsid w:val="00EF339F"/>
    <w:rsid w:val="00EF5AD4"/>
    <w:rsid w:val="00EF5C74"/>
    <w:rsid w:val="00F12547"/>
    <w:rsid w:val="00F15492"/>
    <w:rsid w:val="00F1784A"/>
    <w:rsid w:val="00F254B2"/>
    <w:rsid w:val="00F31F8B"/>
    <w:rsid w:val="00F3263D"/>
    <w:rsid w:val="00F32979"/>
    <w:rsid w:val="00F35453"/>
    <w:rsid w:val="00F43005"/>
    <w:rsid w:val="00F43ADD"/>
    <w:rsid w:val="00F51F0E"/>
    <w:rsid w:val="00F545FA"/>
    <w:rsid w:val="00F56CF7"/>
    <w:rsid w:val="00F6413F"/>
    <w:rsid w:val="00F64879"/>
    <w:rsid w:val="00F6564A"/>
    <w:rsid w:val="00F6587D"/>
    <w:rsid w:val="00F72874"/>
    <w:rsid w:val="00F739AD"/>
    <w:rsid w:val="00F740EB"/>
    <w:rsid w:val="00F87C73"/>
    <w:rsid w:val="00F951C2"/>
    <w:rsid w:val="00FA56B7"/>
    <w:rsid w:val="00FA5A62"/>
    <w:rsid w:val="00FB2138"/>
    <w:rsid w:val="00FB44D5"/>
    <w:rsid w:val="00FC15E7"/>
    <w:rsid w:val="00FC3BBE"/>
    <w:rsid w:val="00FE373F"/>
    <w:rsid w:val="00FE4851"/>
    <w:rsid w:val="00FE6A6B"/>
    <w:rsid w:val="00FE78E3"/>
    <w:rsid w:val="00FF11E2"/>
    <w:rsid w:val="00FF4301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665DC8"/>
  <w15:docId w15:val="{1E954A30-5415-40FD-B776-5F87E10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164"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norto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norton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BA8A-24C2-433E-845F-A3FA58AB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Dokumenty Crestcom</cp:lastModifiedBy>
  <cp:revision>6</cp:revision>
  <cp:lastPrinted>2018-03-13T13:07:00Z</cp:lastPrinted>
  <dcterms:created xsi:type="dcterms:W3CDTF">2018-03-14T09:05:00Z</dcterms:created>
  <dcterms:modified xsi:type="dcterms:W3CDTF">2018-03-21T09:20:00Z</dcterms:modified>
</cp:coreProperties>
</file>